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34E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附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表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2：政府采购代理机构评分表</w:t>
      </w:r>
    </w:p>
    <w:p w14:paraId="506F4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评审细则及标准</w:t>
      </w:r>
    </w:p>
    <w:p w14:paraId="59B47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1.本项目的遴选实行综合评分法，按得分高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低进行排序。质量和服务均能满足采购文件实质性响应要求，且综合得分最高的供应商为本项目中选供应商。</w:t>
      </w:r>
    </w:p>
    <w:p w14:paraId="0B457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2.如供应商分数相同，由评审小组在监督下随机抽取决定排名顺序。</w:t>
      </w:r>
    </w:p>
    <w:p w14:paraId="3CA40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3.综合评分明细表</w:t>
      </w:r>
    </w:p>
    <w:tbl>
      <w:tblPr>
        <w:tblStyle w:val="3"/>
        <w:tblW w:w="10518" w:type="dxa"/>
        <w:tblInd w:w="-9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994"/>
        <w:gridCol w:w="1256"/>
        <w:gridCol w:w="7162"/>
      </w:tblGrid>
      <w:tr w14:paraId="31DC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100" w:type="dxa"/>
            <w:gridSpan w:val="2"/>
            <w:noWrap w:val="0"/>
            <w:vAlign w:val="center"/>
          </w:tcPr>
          <w:p w14:paraId="78878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评分因素</w:t>
            </w:r>
          </w:p>
        </w:tc>
        <w:tc>
          <w:tcPr>
            <w:tcW w:w="1256" w:type="dxa"/>
            <w:noWrap w:val="0"/>
            <w:vAlign w:val="center"/>
          </w:tcPr>
          <w:p w14:paraId="5935A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分值</w:t>
            </w:r>
          </w:p>
        </w:tc>
        <w:tc>
          <w:tcPr>
            <w:tcW w:w="7162" w:type="dxa"/>
            <w:noWrap w:val="0"/>
            <w:vAlign w:val="center"/>
          </w:tcPr>
          <w:p w14:paraId="46701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评分标准</w:t>
            </w:r>
          </w:p>
        </w:tc>
      </w:tr>
      <w:tr w14:paraId="7BA63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noWrap w:val="0"/>
            <w:vAlign w:val="center"/>
          </w:tcPr>
          <w:p w14:paraId="1341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报价</w:t>
            </w:r>
          </w:p>
          <w:p w14:paraId="67163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（20分）</w:t>
            </w:r>
          </w:p>
          <w:p w14:paraId="5E9DD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4D1A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代理服务费</w:t>
            </w:r>
          </w:p>
        </w:tc>
        <w:tc>
          <w:tcPr>
            <w:tcW w:w="1256" w:type="dxa"/>
            <w:noWrap w:val="0"/>
            <w:vAlign w:val="center"/>
          </w:tcPr>
          <w:p w14:paraId="035C1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20分</w:t>
            </w:r>
          </w:p>
        </w:tc>
        <w:tc>
          <w:tcPr>
            <w:tcW w:w="7162" w:type="dxa"/>
            <w:noWrap w:val="0"/>
            <w:vAlign w:val="top"/>
          </w:tcPr>
          <w:p w14:paraId="31F03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政府采购项目（总计10分）：</w:t>
            </w:r>
          </w:p>
          <w:p w14:paraId="01DAF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参照国家计委关于印发《招标代理服务收费管理暂行办法》的通知（计价格〔2002〕1980号）规定收费标准为最高限价，在此基础上每下浮2%得1分，最多得10分。</w:t>
            </w:r>
          </w:p>
          <w:p w14:paraId="19CC6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自主采购项目（总计10分）：</w:t>
            </w:r>
          </w:p>
          <w:p w14:paraId="4202A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color="auto" w:fill="FFFFFF"/>
              </w:rPr>
              <w:t>单个项目预算30万（含）以下的最高限价为6000元。在本项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最高限价的基础上，每同时降低100元得1分，最多得10分。</w:t>
            </w:r>
          </w:p>
          <w:p w14:paraId="1D236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注：评审小组在评审时认为代理机构的报价明显低于其他通过有效性、完整性和响应程度审查代理机构的报价，有可能不能诚信履约的，可要求其在评审现场合理的时间内提供书面说明，必要时提交相关证明材料；代理机构不能证明其报价合理性的，评审小组应当将其作为无效响应处理。</w:t>
            </w:r>
          </w:p>
        </w:tc>
      </w:tr>
      <w:tr w14:paraId="48D5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106" w:type="dxa"/>
            <w:vMerge w:val="restart"/>
            <w:noWrap w:val="0"/>
            <w:vAlign w:val="center"/>
          </w:tcPr>
          <w:p w14:paraId="27DD1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代理机构实力（30分）</w:t>
            </w:r>
          </w:p>
        </w:tc>
        <w:tc>
          <w:tcPr>
            <w:tcW w:w="994" w:type="dxa"/>
            <w:noWrap w:val="0"/>
            <w:vAlign w:val="center"/>
          </w:tcPr>
          <w:p w14:paraId="3A299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代理机构业绩</w:t>
            </w:r>
          </w:p>
        </w:tc>
        <w:tc>
          <w:tcPr>
            <w:tcW w:w="1256" w:type="dxa"/>
            <w:noWrap w:val="0"/>
            <w:vAlign w:val="center"/>
          </w:tcPr>
          <w:p w14:paraId="0E829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分</w:t>
            </w:r>
          </w:p>
        </w:tc>
        <w:tc>
          <w:tcPr>
            <w:tcW w:w="7162" w:type="dxa"/>
            <w:noWrap w:val="0"/>
            <w:vAlign w:val="top"/>
          </w:tcPr>
          <w:p w14:paraId="414B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1.2025年1月1日至今，完成1个医疗行业政府采购招标代理业绩得2分，最多得10分；（提供四川政府采购网采购公告截图及结果公告截图） </w:t>
            </w:r>
          </w:p>
          <w:p w14:paraId="4C747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2.2025年1月1日至今，完成1个医疗行业招标代理业绩（非政府采购项目）得2分，最多得10分。（提供招标代理协议复印件）</w:t>
            </w:r>
          </w:p>
        </w:tc>
      </w:tr>
      <w:tr w14:paraId="2A7EA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continue"/>
            <w:noWrap w:val="0"/>
            <w:vAlign w:val="center"/>
          </w:tcPr>
          <w:p w14:paraId="5BB9C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8990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开评标场地</w:t>
            </w:r>
          </w:p>
        </w:tc>
        <w:tc>
          <w:tcPr>
            <w:tcW w:w="1256" w:type="dxa"/>
            <w:noWrap w:val="0"/>
            <w:vAlign w:val="center"/>
          </w:tcPr>
          <w:p w14:paraId="16B6A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10分</w:t>
            </w:r>
          </w:p>
        </w:tc>
        <w:tc>
          <w:tcPr>
            <w:tcW w:w="7162" w:type="dxa"/>
            <w:noWrap w:val="0"/>
            <w:vAlign w:val="top"/>
          </w:tcPr>
          <w:p w14:paraId="6E7E2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1、具有独立（非公用）开评标等办公场地的得2分。（提供现场照片、房产证或租赁协议复印件）</w:t>
            </w:r>
          </w:p>
          <w:p w14:paraId="00D6F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2、开评标分区合理，有单独的监督室、休息室的得2分，未满足或未提供证明不得分。（提供办公场地现场照片）</w:t>
            </w:r>
          </w:p>
          <w:p w14:paraId="386D9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3、具有2个及以上一般评标室的得2分，具有2个及以上电子评标室的得2分。本项最多得4分。（提供办公场地现场照片）</w:t>
            </w:r>
          </w:p>
          <w:p w14:paraId="7CF80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4、具体固定的采购档案存放场所，能满足采购档案保管要求的得2分，不具有或未提供证明不得分。（提供场地现场照片）</w:t>
            </w:r>
          </w:p>
          <w:p w14:paraId="18208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</w:p>
        </w:tc>
      </w:tr>
      <w:tr w14:paraId="33A92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restart"/>
            <w:noWrap w:val="0"/>
            <w:vAlign w:val="center"/>
          </w:tcPr>
          <w:p w14:paraId="0B491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代理机构人员配备</w:t>
            </w:r>
          </w:p>
          <w:p w14:paraId="6F9AD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（20分）</w:t>
            </w:r>
          </w:p>
          <w:p w14:paraId="18264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9D4B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项目负责人</w:t>
            </w:r>
          </w:p>
        </w:tc>
        <w:tc>
          <w:tcPr>
            <w:tcW w:w="1256" w:type="dxa"/>
            <w:noWrap w:val="0"/>
            <w:vAlign w:val="center"/>
          </w:tcPr>
          <w:p w14:paraId="64C2E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9分</w:t>
            </w:r>
          </w:p>
        </w:tc>
        <w:tc>
          <w:tcPr>
            <w:tcW w:w="7162" w:type="dxa"/>
            <w:noWrap w:val="0"/>
            <w:vAlign w:val="top"/>
          </w:tcPr>
          <w:p w14:paraId="12B2F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具有高级及以上职称的得3分；具有四川省财政厅评审专家资格加3分，具有四川省发改委评审专家资格加3分，本项最多得9分。</w:t>
            </w:r>
          </w:p>
          <w:p w14:paraId="173C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提供人员身份证及相关证书复印件。</w:t>
            </w:r>
          </w:p>
        </w:tc>
      </w:tr>
      <w:tr w14:paraId="4D27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continue"/>
            <w:noWrap w:val="0"/>
            <w:vAlign w:val="center"/>
          </w:tcPr>
          <w:p w14:paraId="6AEAC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E11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项目组</w:t>
            </w:r>
          </w:p>
          <w:p w14:paraId="26E7C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成员</w:t>
            </w:r>
          </w:p>
          <w:p w14:paraId="0E79A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5612D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11分</w:t>
            </w:r>
          </w:p>
        </w:tc>
        <w:tc>
          <w:tcPr>
            <w:tcW w:w="7162" w:type="dxa"/>
            <w:noWrap w:val="0"/>
            <w:vAlign w:val="top"/>
          </w:tcPr>
          <w:p w14:paraId="2F465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1、项目组成员具有中级及以上职称，同时具有四川省财政厅评审专家资格的，每1人加3分，最多9分；</w:t>
            </w:r>
          </w:p>
          <w:p w14:paraId="55024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2、本项目团队含有法律相关专业人员或有外聘法律顾问的，每1人得1分，最多得2分</w:t>
            </w:r>
          </w:p>
          <w:p w14:paraId="7B3DD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本项满分11分。</w:t>
            </w:r>
          </w:p>
          <w:p w14:paraId="61AA5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提供人员身份证及相关证书复印件。</w:t>
            </w:r>
          </w:p>
        </w:tc>
      </w:tr>
      <w:tr w14:paraId="51B1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noWrap w:val="0"/>
            <w:vAlign w:val="center"/>
          </w:tcPr>
          <w:p w14:paraId="1E57A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服务</w:t>
            </w:r>
          </w:p>
          <w:p w14:paraId="4CE73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方案</w:t>
            </w:r>
          </w:p>
          <w:p w14:paraId="337BD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（30分）</w:t>
            </w:r>
          </w:p>
          <w:p w14:paraId="565DA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12" w:type="dxa"/>
            <w:gridSpan w:val="3"/>
            <w:noWrap w:val="0"/>
            <w:vAlign w:val="top"/>
          </w:tcPr>
          <w:p w14:paraId="393A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针对本次采购项目特点，提供采购代理服务方案：</w:t>
            </w:r>
          </w:p>
          <w:p w14:paraId="6676A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1.采购代理方案（7分）：</w:t>
            </w:r>
          </w:p>
          <w:p w14:paraId="7E089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（1）采购需求调查、采购计划编制、采购计划和采购需求审查；</w:t>
            </w:r>
          </w:p>
          <w:p w14:paraId="08E0E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（2）采购流程及重点环节控制；</w:t>
            </w:r>
          </w:p>
          <w:p w14:paraId="2378A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（3）突发事件应急预案；</w:t>
            </w:r>
          </w:p>
          <w:p w14:paraId="44F1D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（4）组织项目开标、评审；</w:t>
            </w:r>
          </w:p>
          <w:p w14:paraId="72F1A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（5）采购档案服务（含数字化档案）；</w:t>
            </w:r>
          </w:p>
          <w:p w14:paraId="52F04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（6）培训方案；</w:t>
            </w:r>
          </w:p>
          <w:p w14:paraId="6AC9C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（7）其他业务支持。</w:t>
            </w:r>
          </w:p>
          <w:p w14:paraId="5D804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代理方案包含上述7点内容，按照要求进行详细阐述，逻辑清晰，条理清楚，方案完善的得7分，每有1项缺项或仅有要点罗列、内容不完整、前后矛盾、标准不统一、与本项目需求不相符等任意一条，扣1分。</w:t>
            </w:r>
          </w:p>
          <w:p w14:paraId="40C78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.招标质疑或投诉处理方案（4分）：包含组织架构、质疑或投诉处理流程、处理目标及原则、提供相关法律法规咨询服务等内容。按照要求进行详细阐述，逻辑清晰，条理清楚，方案完善的得4分，每有1项缺项或仅有要点罗列、内容不完整、前后矛盾、标准不统一、与本项目需求不相符等任意一条，扣1分。</w:t>
            </w:r>
          </w:p>
          <w:p w14:paraId="13AA8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.采购质量控制（3分）：包含源头与结果控制、监督与问责、流程控制等。按照要求进行详细阐述，逻辑清晰，条理清楚，方案完善的得3分，每有1项缺项或仅有要点罗列、内容不完整、前后矛盾、标准不统一、与本项目需求不相符等任意一条，扣1分。</w:t>
            </w:r>
          </w:p>
          <w:p w14:paraId="3A5FE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.风险防控方案（6分）：包含风险防控目标、风险点分析识别、风险防控措施、风险防控应急处理预案、风险防控的监督与评估、廉政承诺与保密工作等内容。按照要求进行详细阐述，逻辑清晰，条理清楚，方案完善的得6分，每有1项缺项或仅有要点罗列、内容不完整、前后矛盾、标准不统一、与本项目需求不相符等任意一条，扣1分。</w:t>
            </w:r>
          </w:p>
        </w:tc>
      </w:tr>
    </w:tbl>
    <w:p w14:paraId="4D83E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注：申请人所用人员、业绩、场所均为比选申请人主体（参与本次比选的比选申请人）自有，不得借用总公司/关联机构资源。</w:t>
      </w:r>
    </w:p>
    <w:p w14:paraId="6881AA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673393"/>
    <w:rsid w:val="6FBB1BF5"/>
    <w:rsid w:val="7240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2026-07-27T02:37:22Z</dcterms:created>
  <dc:creator>Administrator</dc:creator>
  <cp:lastModifiedBy>WHY</cp:lastModifiedBy>
  <dcterms:modified xsi:type="dcterms:W3CDTF">2026-07-27T02:38:04Z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eyJoZGlkIjoiZDFlYmU0YTI2MTQ3MGY1NzU2ODVlNmU4MTIwNmVhNTciLCJ1c2VySWQiOiI0MjAyMTc1MjUifQ==</vt:lpwstr>
  </property>
  <property fmtid="{D5CDD505-2E9C-101B-9397-08002B2CF9AE}" pid="4" name="ICV">
    <vt:lpwstr>20686445AD1C4340856C8D69E77243F5_12</vt:lpwstr>
  </property>
</Properties>
</file>